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1D705579"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BB796A">
              <w:rPr>
                <w:b/>
                <w:sz w:val="24"/>
                <w:szCs w:val="24"/>
              </w:rPr>
              <w:t>____</w:t>
            </w:r>
            <w:r w:rsidRPr="007A0D60">
              <w:rPr>
                <w:b/>
                <w:sz w:val="24"/>
                <w:szCs w:val="24"/>
              </w:rPr>
              <w:t xml:space="preserve">» </w:t>
            </w:r>
            <w:r w:rsidR="00BB796A">
              <w:rPr>
                <w:b/>
                <w:sz w:val="24"/>
                <w:szCs w:val="24"/>
              </w:rPr>
              <w:t>апреля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BB796A">
              <w:rPr>
                <w:b/>
                <w:sz w:val="24"/>
                <w:szCs w:val="24"/>
              </w:rPr>
              <w:t>____</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10FD1F69"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1248EC">
        <w:rPr>
          <w:sz w:val="24"/>
          <w:szCs w:val="24"/>
        </w:rPr>
        <w:t>2</w:t>
      </w:r>
      <w:r w:rsidRPr="007A0D60">
        <w:rPr>
          <w:sz w:val="24"/>
          <w:szCs w:val="24"/>
        </w:rPr>
        <w:t xml:space="preserve"> </w:t>
      </w:r>
      <w:r w:rsidR="00F5022A">
        <w:rPr>
          <w:sz w:val="24"/>
          <w:szCs w:val="24"/>
        </w:rPr>
        <w:t>мая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57A27468"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1248EC">
        <w:rPr>
          <w:sz w:val="24"/>
          <w:szCs w:val="24"/>
        </w:rPr>
        <w:t>2</w:t>
      </w:r>
      <w:r w:rsidRPr="007A0D60">
        <w:rPr>
          <w:sz w:val="24"/>
          <w:szCs w:val="24"/>
        </w:rPr>
        <w:t xml:space="preserve"> </w:t>
      </w:r>
      <w:r w:rsidR="00F5022A">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1248EC">
        <w:rPr>
          <w:sz w:val="24"/>
          <w:szCs w:val="24"/>
        </w:rPr>
        <w:t>2</w:t>
      </w:r>
      <w:r w:rsidR="00CC5C71">
        <w:rPr>
          <w:sz w:val="24"/>
          <w:szCs w:val="24"/>
        </w:rPr>
        <w:t xml:space="preserve"> </w:t>
      </w:r>
      <w:r w:rsidR="00F5022A">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510AF52E"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1248EC">
        <w:rPr>
          <w:sz w:val="24"/>
          <w:szCs w:val="24"/>
        </w:rPr>
        <w:t>2</w:t>
      </w:r>
      <w:r w:rsidR="005B5FA8" w:rsidRPr="007A0D60">
        <w:rPr>
          <w:sz w:val="24"/>
          <w:szCs w:val="24"/>
        </w:rPr>
        <w:t xml:space="preserve"> </w:t>
      </w:r>
      <w:r w:rsidR="00F5022A">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C741F1">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97D7E" w14:textId="77777777" w:rsidR="00C741F1" w:rsidRDefault="00C741F1">
      <w:r>
        <w:separator/>
      </w:r>
    </w:p>
  </w:endnote>
  <w:endnote w:type="continuationSeparator" w:id="0">
    <w:p w14:paraId="76B3D6A6" w14:textId="77777777" w:rsidR="00C741F1" w:rsidRDefault="00C7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7CFC6" w14:textId="77777777" w:rsidR="00C741F1" w:rsidRDefault="00C741F1">
      <w:r>
        <w:separator/>
      </w:r>
    </w:p>
  </w:footnote>
  <w:footnote w:type="continuationSeparator" w:id="0">
    <w:p w14:paraId="2CD48168" w14:textId="77777777" w:rsidR="00C741F1" w:rsidRDefault="00C74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94C7B"/>
    <w:rsid w:val="000A00D8"/>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B796A"/>
    <w:rsid w:val="00BC21E2"/>
    <w:rsid w:val="00BE4F1C"/>
    <w:rsid w:val="00BF2302"/>
    <w:rsid w:val="00C20813"/>
    <w:rsid w:val="00C74060"/>
    <w:rsid w:val="00C741F1"/>
    <w:rsid w:val="00C80C72"/>
    <w:rsid w:val="00C8710C"/>
    <w:rsid w:val="00C91D6E"/>
    <w:rsid w:val="00CC5C71"/>
    <w:rsid w:val="00D525C4"/>
    <w:rsid w:val="00D53F82"/>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7205"/>
    <w:rsid w:val="00EF615C"/>
    <w:rsid w:val="00F5022A"/>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23</Pages>
  <Words>10428</Words>
  <Characters>59445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62</cp:revision>
  <cp:lastPrinted>2021-03-01T04:32:00Z</cp:lastPrinted>
  <dcterms:created xsi:type="dcterms:W3CDTF">2019-12-09T09:01:00Z</dcterms:created>
  <dcterms:modified xsi:type="dcterms:W3CDTF">2024-04-25T10:15:00Z</dcterms:modified>
</cp:coreProperties>
</file>